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1608" w:rsidRDefault="006F1608" w:rsidP="0057338A">
      <w:pPr>
        <w:rPr>
          <w:sz w:val="26"/>
          <w:szCs w:val="26"/>
        </w:rPr>
      </w:pPr>
      <w:r>
        <w:rPr>
          <w:noProof/>
        </w:rPr>
        <mc:AlternateContent>
          <mc:Choice Requires="wps">
            <w:drawing>
              <wp:anchor distT="0" distB="0" distL="114300" distR="114300" simplePos="0" relativeHeight="251659264" behindDoc="0" locked="0" layoutInCell="1" allowOverlap="1" wp14:anchorId="35A3FC0E" wp14:editId="6F09819F">
                <wp:simplePos x="0" y="0"/>
                <wp:positionH relativeFrom="column">
                  <wp:posOffset>4397473</wp:posOffset>
                </wp:positionH>
                <wp:positionV relativeFrom="paragraph">
                  <wp:posOffset>-570181</wp:posOffset>
                </wp:positionV>
                <wp:extent cx="1162050" cy="489438"/>
                <wp:effectExtent l="0" t="0" r="19050" b="25400"/>
                <wp:wrapNone/>
                <wp:docPr id="36" name="正方形/長方形 35"/>
                <wp:cNvGraphicFramePr/>
                <a:graphic xmlns:a="http://schemas.openxmlformats.org/drawingml/2006/main">
                  <a:graphicData uri="http://schemas.microsoft.com/office/word/2010/wordprocessingShape">
                    <wps:wsp>
                      <wps:cNvSpPr/>
                      <wps:spPr>
                        <a:xfrm>
                          <a:off x="0" y="0"/>
                          <a:ext cx="1162050" cy="4894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1608" w:rsidRDefault="00376460" w:rsidP="006F1608">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dark1"/>
                                <w:sz w:val="32"/>
                                <w:szCs w:val="32"/>
                              </w:rPr>
                              <w:t>資料４</w:t>
                            </w:r>
                          </w:p>
                        </w:txbxContent>
                      </wps:txbx>
                      <wps:bodyPr vertOverflow="clip" horzOverflow="clip" rtlCol="0" anchor="ctr">
                        <a:noAutofit/>
                      </wps:bodyPr>
                    </wps:wsp>
                  </a:graphicData>
                </a:graphic>
                <wp14:sizeRelV relativeFrom="margin">
                  <wp14:pctHeight>0</wp14:pctHeight>
                </wp14:sizeRelV>
              </wp:anchor>
            </w:drawing>
          </mc:Choice>
          <mc:Fallback>
            <w:pict>
              <v:rect id="正方形/長方形 35" o:spid="_x0000_s1026" style="position:absolute;left:0;text-align:left;margin-left:346.25pt;margin-top:-44.9pt;width:91.5pt;height:3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" fillcolor="white [3201]" strokecolor="black [3213]" strokeweight="2pt">
                <v:textbox>
                  <w:txbxContent>
                    <w:p w:rsidR="006F1608" w:rsidRDefault="00376460" w:rsidP="006F1608">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dark1"/>
                          <w:sz w:val="32"/>
                          <w:szCs w:val="32"/>
                        </w:rPr>
                        <w:t>資料４</w:t>
                      </w:r>
                      <w:bookmarkStart w:id="1" w:name="_GoBack"/>
                      <w:bookmarkEnd w:id="1"/>
                    </w:p>
                  </w:txbxContent>
                </v:textbox>
              </v:rect>
            </w:pict>
          </mc:Fallback>
        </mc:AlternateContent>
      </w:r>
    </w:p>
    <w:p w:rsidR="0003365D" w:rsidRPr="00200BDA" w:rsidRDefault="00F72703" w:rsidP="0057338A">
      <w:pPr>
        <w:rPr>
          <w:sz w:val="26"/>
          <w:szCs w:val="26"/>
        </w:rPr>
      </w:pPr>
      <w:r>
        <w:rPr>
          <w:rFonts w:hint="eastAsia"/>
          <w:sz w:val="26"/>
          <w:szCs w:val="26"/>
        </w:rPr>
        <w:t>平成</w:t>
      </w:r>
      <w:r w:rsidR="00F12A0C">
        <w:rPr>
          <w:rFonts w:hint="eastAsia"/>
          <w:sz w:val="26"/>
          <w:szCs w:val="26"/>
        </w:rPr>
        <w:t>３０年度の国民健康保険税賦課</w:t>
      </w:r>
      <w:r w:rsidR="005D06EF">
        <w:rPr>
          <w:rFonts w:hint="eastAsia"/>
          <w:sz w:val="26"/>
          <w:szCs w:val="26"/>
        </w:rPr>
        <w:t>について</w:t>
      </w:r>
      <w:r w:rsidR="00F12A0C">
        <w:rPr>
          <w:rFonts w:hint="eastAsia"/>
          <w:sz w:val="26"/>
          <w:szCs w:val="26"/>
        </w:rPr>
        <w:t>（事務局案）</w:t>
      </w:r>
    </w:p>
    <w:p w:rsidR="0057338A" w:rsidRDefault="0057338A" w:rsidP="0057338A">
      <w:pPr>
        <w:rPr>
          <w:sz w:val="24"/>
          <w:szCs w:val="24"/>
        </w:rPr>
      </w:pPr>
    </w:p>
    <w:p w:rsidR="00FD32D4" w:rsidRDefault="00FD32D4" w:rsidP="00FD32D4">
      <w:pPr>
        <w:ind w:firstLineChars="100" w:firstLine="240"/>
        <w:rPr>
          <w:sz w:val="24"/>
          <w:szCs w:val="24"/>
        </w:rPr>
      </w:pPr>
      <w:r>
        <w:rPr>
          <w:rFonts w:hint="eastAsia"/>
          <w:sz w:val="24"/>
          <w:szCs w:val="24"/>
        </w:rPr>
        <w:t>急速な高齢化や医療の高度化が進む中、志木市国民健康保険の財政状況は、</w:t>
      </w:r>
      <w:r w:rsidR="00F72703">
        <w:rPr>
          <w:rFonts w:hint="eastAsia"/>
          <w:sz w:val="24"/>
          <w:szCs w:val="24"/>
        </w:rPr>
        <w:t>平成</w:t>
      </w:r>
      <w:r>
        <w:rPr>
          <w:rFonts w:hint="eastAsia"/>
          <w:sz w:val="24"/>
          <w:szCs w:val="24"/>
        </w:rPr>
        <w:t>２８年度決算ではおよそ△３億１，５００万円の実質</w:t>
      </w:r>
      <w:r w:rsidR="00F72703">
        <w:rPr>
          <w:rFonts w:hint="eastAsia"/>
          <w:sz w:val="24"/>
          <w:szCs w:val="24"/>
        </w:rPr>
        <w:t>的な</w:t>
      </w:r>
      <w:r>
        <w:rPr>
          <w:rFonts w:hint="eastAsia"/>
          <w:sz w:val="24"/>
          <w:szCs w:val="24"/>
        </w:rPr>
        <w:t>収支であり６年連続の赤字が続いている。また、</w:t>
      </w:r>
      <w:r w:rsidR="00F72703">
        <w:rPr>
          <w:rFonts w:hint="eastAsia"/>
          <w:sz w:val="24"/>
          <w:szCs w:val="24"/>
        </w:rPr>
        <w:t>平成</w:t>
      </w:r>
      <w:r>
        <w:rPr>
          <w:rFonts w:hint="eastAsia"/>
          <w:sz w:val="24"/>
          <w:szCs w:val="24"/>
        </w:rPr>
        <w:t>３０年度予算案（</w:t>
      </w:r>
      <w:r>
        <w:rPr>
          <w:rFonts w:hint="eastAsia"/>
          <w:sz w:val="24"/>
          <w:szCs w:val="24"/>
        </w:rPr>
        <w:t>H29.12</w:t>
      </w:r>
      <w:r>
        <w:rPr>
          <w:rFonts w:hint="eastAsia"/>
          <w:sz w:val="24"/>
          <w:szCs w:val="24"/>
        </w:rPr>
        <w:t>月現在）においても、３億円を超える不足が</w:t>
      </w:r>
      <w:r w:rsidR="002A6320">
        <w:rPr>
          <w:rFonts w:hint="eastAsia"/>
          <w:sz w:val="24"/>
          <w:szCs w:val="24"/>
        </w:rPr>
        <w:t>見込まれて</w:t>
      </w:r>
      <w:r>
        <w:rPr>
          <w:rFonts w:hint="eastAsia"/>
          <w:sz w:val="24"/>
          <w:szCs w:val="24"/>
        </w:rPr>
        <w:t>おり、</w:t>
      </w:r>
      <w:r w:rsidR="003B1FE4">
        <w:rPr>
          <w:rFonts w:hint="eastAsia"/>
          <w:sz w:val="24"/>
          <w:szCs w:val="24"/>
        </w:rPr>
        <w:t>国民健康保険制度が独立採算により本来運営される主旨を</w:t>
      </w:r>
      <w:r w:rsidR="002A6320">
        <w:rPr>
          <w:rFonts w:hint="eastAsia"/>
          <w:sz w:val="24"/>
          <w:szCs w:val="24"/>
        </w:rPr>
        <w:t>踏まえると</w:t>
      </w:r>
      <w:r w:rsidR="003B1FE4">
        <w:rPr>
          <w:rFonts w:hint="eastAsia"/>
          <w:sz w:val="24"/>
          <w:szCs w:val="24"/>
        </w:rPr>
        <w:t>税率の引き上げはやむを得ないものと考え</w:t>
      </w:r>
      <w:r w:rsidR="00F72703">
        <w:rPr>
          <w:rFonts w:hint="eastAsia"/>
          <w:sz w:val="24"/>
          <w:szCs w:val="24"/>
        </w:rPr>
        <w:t>ます</w:t>
      </w:r>
      <w:r w:rsidR="003B1FE4">
        <w:rPr>
          <w:rFonts w:hint="eastAsia"/>
          <w:sz w:val="24"/>
          <w:szCs w:val="24"/>
        </w:rPr>
        <w:t>。</w:t>
      </w:r>
    </w:p>
    <w:p w:rsidR="006978B1" w:rsidRDefault="003B1FE4" w:rsidP="006978B1">
      <w:pPr>
        <w:ind w:firstLineChars="100" w:firstLine="240"/>
        <w:rPr>
          <w:sz w:val="24"/>
          <w:szCs w:val="24"/>
        </w:rPr>
      </w:pPr>
      <w:r>
        <w:rPr>
          <w:rFonts w:hint="eastAsia"/>
          <w:sz w:val="24"/>
          <w:szCs w:val="24"/>
        </w:rPr>
        <w:t>また、国民健康保険制度の創設時とは地域社会の実情が変化している中、賦課方式においても</w:t>
      </w:r>
      <w:r w:rsidR="006978B1">
        <w:rPr>
          <w:rFonts w:hint="eastAsia"/>
          <w:sz w:val="24"/>
          <w:szCs w:val="24"/>
        </w:rPr>
        <w:t>見直す必要があ</w:t>
      </w:r>
      <w:r w:rsidR="00A1456B">
        <w:rPr>
          <w:rFonts w:hint="eastAsia"/>
          <w:sz w:val="24"/>
          <w:szCs w:val="24"/>
        </w:rPr>
        <w:t>り</w:t>
      </w:r>
      <w:r w:rsidR="006978B1">
        <w:rPr>
          <w:rFonts w:hint="eastAsia"/>
          <w:sz w:val="24"/>
          <w:szCs w:val="24"/>
        </w:rPr>
        <w:t>、より公平な保険税を負担い</w:t>
      </w:r>
      <w:r w:rsidR="00F72703">
        <w:rPr>
          <w:rFonts w:hint="eastAsia"/>
          <w:sz w:val="24"/>
          <w:szCs w:val="24"/>
        </w:rPr>
        <w:t>ただくことで適正かつ安定した国民健康保険を運営すべきものと考えます</w:t>
      </w:r>
      <w:r w:rsidR="006978B1">
        <w:rPr>
          <w:rFonts w:hint="eastAsia"/>
          <w:sz w:val="24"/>
          <w:szCs w:val="24"/>
        </w:rPr>
        <w:t>。</w:t>
      </w:r>
    </w:p>
    <w:p w:rsidR="006978B1" w:rsidRDefault="00A1456B" w:rsidP="006978B1">
      <w:pPr>
        <w:ind w:firstLineChars="100" w:firstLine="240"/>
        <w:rPr>
          <w:sz w:val="24"/>
          <w:szCs w:val="24"/>
        </w:rPr>
      </w:pPr>
      <w:r>
        <w:rPr>
          <w:rFonts w:hint="eastAsia"/>
          <w:sz w:val="24"/>
          <w:szCs w:val="24"/>
        </w:rPr>
        <w:t>一方で、納税者の方々に相応の保険税</w:t>
      </w:r>
      <w:r w:rsidR="006978B1">
        <w:rPr>
          <w:rFonts w:hint="eastAsia"/>
          <w:sz w:val="24"/>
          <w:szCs w:val="24"/>
        </w:rPr>
        <w:t>負担</w:t>
      </w:r>
      <w:r w:rsidR="002A6320">
        <w:rPr>
          <w:rFonts w:hint="eastAsia"/>
          <w:sz w:val="24"/>
          <w:szCs w:val="24"/>
        </w:rPr>
        <w:t>いただくためには</w:t>
      </w:r>
      <w:r w:rsidR="006978B1">
        <w:rPr>
          <w:rFonts w:hint="eastAsia"/>
          <w:sz w:val="24"/>
          <w:szCs w:val="24"/>
        </w:rPr>
        <w:t>、</w:t>
      </w:r>
      <w:r w:rsidR="00F72703">
        <w:rPr>
          <w:rFonts w:hint="eastAsia"/>
          <w:sz w:val="24"/>
          <w:szCs w:val="24"/>
        </w:rPr>
        <w:t>平成</w:t>
      </w:r>
      <w:r w:rsidR="006978B1">
        <w:rPr>
          <w:rFonts w:hint="eastAsia"/>
          <w:sz w:val="24"/>
          <w:szCs w:val="24"/>
        </w:rPr>
        <w:t>３０年度からの制度改革の仕組みが</w:t>
      </w:r>
      <w:r w:rsidR="00120D94">
        <w:rPr>
          <w:rFonts w:hint="eastAsia"/>
          <w:sz w:val="24"/>
          <w:szCs w:val="24"/>
        </w:rPr>
        <w:t>透明性のあるものでなければならない</w:t>
      </w:r>
      <w:r>
        <w:rPr>
          <w:rFonts w:hint="eastAsia"/>
          <w:sz w:val="24"/>
          <w:szCs w:val="24"/>
        </w:rPr>
        <w:t>と考え</w:t>
      </w:r>
      <w:r w:rsidR="00120D94">
        <w:rPr>
          <w:rFonts w:hint="eastAsia"/>
          <w:sz w:val="24"/>
          <w:szCs w:val="24"/>
        </w:rPr>
        <w:t>、</w:t>
      </w:r>
      <w:r w:rsidR="002A6320">
        <w:rPr>
          <w:rFonts w:hint="eastAsia"/>
          <w:sz w:val="24"/>
          <w:szCs w:val="24"/>
        </w:rPr>
        <w:t>税率等の</w:t>
      </w:r>
      <w:r w:rsidR="00120D94">
        <w:rPr>
          <w:rFonts w:hint="eastAsia"/>
          <w:sz w:val="24"/>
          <w:szCs w:val="24"/>
        </w:rPr>
        <w:t>改正の時期については慎重に見極め</w:t>
      </w:r>
      <w:r>
        <w:rPr>
          <w:rFonts w:hint="eastAsia"/>
          <w:sz w:val="24"/>
          <w:szCs w:val="24"/>
        </w:rPr>
        <w:t>ていきたい</w:t>
      </w:r>
      <w:r w:rsidR="00120D94">
        <w:rPr>
          <w:rFonts w:hint="eastAsia"/>
          <w:sz w:val="24"/>
          <w:szCs w:val="24"/>
        </w:rPr>
        <w:t>。</w:t>
      </w:r>
    </w:p>
    <w:p w:rsidR="00533D0E" w:rsidRPr="002A6320" w:rsidRDefault="00533D0E" w:rsidP="006978B1">
      <w:pPr>
        <w:ind w:firstLineChars="100" w:firstLine="240"/>
        <w:rPr>
          <w:sz w:val="24"/>
          <w:szCs w:val="24"/>
        </w:rPr>
      </w:pPr>
    </w:p>
    <w:p w:rsidR="00FD32D4" w:rsidRPr="00F72703" w:rsidRDefault="00FD32D4" w:rsidP="00FD32D4">
      <w:pPr>
        <w:ind w:firstLineChars="100" w:firstLine="240"/>
        <w:rPr>
          <w:sz w:val="24"/>
          <w:szCs w:val="24"/>
        </w:rPr>
      </w:pPr>
    </w:p>
    <w:p w:rsidR="00F72703" w:rsidRDefault="00F72703" w:rsidP="00F72703">
      <w:pPr>
        <w:ind w:firstLineChars="100" w:firstLine="240"/>
        <w:rPr>
          <w:sz w:val="24"/>
          <w:szCs w:val="24"/>
        </w:rPr>
      </w:pPr>
      <w:r>
        <w:rPr>
          <w:rFonts w:hint="eastAsia"/>
          <w:sz w:val="24"/>
          <w:szCs w:val="24"/>
        </w:rPr>
        <w:t>１．応能割合・応益割合について</w:t>
      </w:r>
    </w:p>
    <w:p w:rsidR="00F72703" w:rsidRDefault="00F72703" w:rsidP="00F72703">
      <w:pPr>
        <w:ind w:leftChars="100" w:left="450" w:hangingChars="100" w:hanging="240"/>
        <w:rPr>
          <w:sz w:val="24"/>
          <w:szCs w:val="24"/>
        </w:rPr>
      </w:pPr>
      <w:r>
        <w:rPr>
          <w:rFonts w:hint="eastAsia"/>
          <w:sz w:val="24"/>
          <w:szCs w:val="24"/>
        </w:rPr>
        <w:t xml:space="preserve">　　低所得者への負担を配慮しながら、現状の７：３を維持する。</w:t>
      </w:r>
    </w:p>
    <w:p w:rsidR="00F72703" w:rsidRPr="00533D0E" w:rsidRDefault="00F72703" w:rsidP="00F72703">
      <w:pPr>
        <w:ind w:firstLineChars="100" w:firstLine="240"/>
        <w:rPr>
          <w:sz w:val="24"/>
          <w:szCs w:val="24"/>
        </w:rPr>
      </w:pPr>
    </w:p>
    <w:p w:rsidR="00F72703" w:rsidRDefault="00F72703" w:rsidP="00F72703">
      <w:pPr>
        <w:ind w:firstLineChars="100" w:firstLine="240"/>
        <w:rPr>
          <w:sz w:val="24"/>
          <w:szCs w:val="24"/>
        </w:rPr>
      </w:pPr>
      <w:r>
        <w:rPr>
          <w:rFonts w:hint="eastAsia"/>
          <w:sz w:val="24"/>
          <w:szCs w:val="24"/>
        </w:rPr>
        <w:t>２．賦課方式について</w:t>
      </w:r>
    </w:p>
    <w:p w:rsidR="00F72703" w:rsidRDefault="00F72703" w:rsidP="00F72703">
      <w:pPr>
        <w:ind w:leftChars="100" w:left="450" w:hangingChars="100" w:hanging="240"/>
        <w:rPr>
          <w:sz w:val="24"/>
          <w:szCs w:val="24"/>
        </w:rPr>
      </w:pPr>
      <w:r>
        <w:rPr>
          <w:rFonts w:hint="eastAsia"/>
          <w:sz w:val="24"/>
          <w:szCs w:val="24"/>
        </w:rPr>
        <w:t xml:space="preserve">　　埼玉県国保運営方針に従い２方式とする。ただし、適用については税率改正と併せて行う。</w:t>
      </w:r>
    </w:p>
    <w:p w:rsidR="00F72703" w:rsidRPr="00F72703" w:rsidRDefault="00F72703" w:rsidP="00FD32D4">
      <w:pPr>
        <w:ind w:firstLineChars="100" w:firstLine="240"/>
        <w:rPr>
          <w:sz w:val="24"/>
          <w:szCs w:val="24"/>
        </w:rPr>
      </w:pPr>
    </w:p>
    <w:p w:rsidR="00120D94" w:rsidRDefault="00F72703" w:rsidP="00FD32D4">
      <w:pPr>
        <w:ind w:firstLineChars="100" w:firstLine="240"/>
        <w:rPr>
          <w:sz w:val="24"/>
          <w:szCs w:val="24"/>
        </w:rPr>
      </w:pPr>
      <w:r>
        <w:rPr>
          <w:rFonts w:hint="eastAsia"/>
          <w:sz w:val="24"/>
          <w:szCs w:val="24"/>
        </w:rPr>
        <w:t>３</w:t>
      </w:r>
      <w:r w:rsidR="00120D94">
        <w:rPr>
          <w:rFonts w:hint="eastAsia"/>
          <w:sz w:val="24"/>
          <w:szCs w:val="24"/>
        </w:rPr>
        <w:t>．適用税率について</w:t>
      </w:r>
    </w:p>
    <w:p w:rsidR="00120D94" w:rsidRDefault="002A6320" w:rsidP="00120D94">
      <w:pPr>
        <w:ind w:leftChars="100" w:left="450" w:hangingChars="100" w:hanging="240"/>
        <w:rPr>
          <w:sz w:val="24"/>
          <w:szCs w:val="24"/>
        </w:rPr>
      </w:pPr>
      <w:r>
        <w:rPr>
          <w:rFonts w:hint="eastAsia"/>
          <w:sz w:val="24"/>
          <w:szCs w:val="24"/>
        </w:rPr>
        <w:t xml:space="preserve">　　</w:t>
      </w:r>
      <w:r w:rsidR="00F72703">
        <w:rPr>
          <w:rFonts w:hint="eastAsia"/>
          <w:sz w:val="24"/>
          <w:szCs w:val="24"/>
        </w:rPr>
        <w:t>平成</w:t>
      </w:r>
      <w:r>
        <w:rPr>
          <w:rFonts w:hint="eastAsia"/>
          <w:sz w:val="24"/>
          <w:szCs w:val="24"/>
        </w:rPr>
        <w:t>２９</w:t>
      </w:r>
      <w:r w:rsidR="00120D94">
        <w:rPr>
          <w:rFonts w:hint="eastAsia"/>
          <w:sz w:val="24"/>
          <w:szCs w:val="24"/>
        </w:rPr>
        <w:t>年度末までに作成</w:t>
      </w:r>
      <w:r>
        <w:rPr>
          <w:rFonts w:hint="eastAsia"/>
          <w:sz w:val="24"/>
          <w:szCs w:val="24"/>
        </w:rPr>
        <w:t>予定の</w:t>
      </w:r>
      <w:r w:rsidR="00120D94">
        <w:rPr>
          <w:rFonts w:hint="eastAsia"/>
          <w:sz w:val="24"/>
          <w:szCs w:val="24"/>
        </w:rPr>
        <w:t>「赤字解消計画」</w:t>
      </w:r>
      <w:r w:rsidR="00533D0E">
        <w:rPr>
          <w:rFonts w:hint="eastAsia"/>
          <w:sz w:val="24"/>
          <w:szCs w:val="24"/>
        </w:rPr>
        <w:t>に</w:t>
      </w:r>
      <w:r w:rsidR="00A1456B">
        <w:rPr>
          <w:rFonts w:hint="eastAsia"/>
          <w:sz w:val="24"/>
          <w:szCs w:val="24"/>
        </w:rPr>
        <w:t>沿って、</w:t>
      </w:r>
      <w:r w:rsidR="00120D94">
        <w:rPr>
          <w:rFonts w:hint="eastAsia"/>
          <w:sz w:val="24"/>
          <w:szCs w:val="24"/>
        </w:rPr>
        <w:t>現状の課題点が</w:t>
      </w:r>
      <w:r w:rsidR="00533D0E">
        <w:rPr>
          <w:rFonts w:hint="eastAsia"/>
          <w:sz w:val="24"/>
          <w:szCs w:val="24"/>
        </w:rPr>
        <w:t>整理</w:t>
      </w:r>
      <w:r>
        <w:rPr>
          <w:rFonts w:hint="eastAsia"/>
          <w:sz w:val="24"/>
          <w:szCs w:val="24"/>
        </w:rPr>
        <w:t>された県提示の「標準保険税率」へ</w:t>
      </w:r>
      <w:r w:rsidR="0097734F">
        <w:rPr>
          <w:rFonts w:hint="eastAsia"/>
          <w:sz w:val="24"/>
          <w:szCs w:val="24"/>
        </w:rPr>
        <w:t>向けた適正な税率へ</w:t>
      </w:r>
      <w:r>
        <w:rPr>
          <w:rFonts w:hint="eastAsia"/>
          <w:sz w:val="24"/>
          <w:szCs w:val="24"/>
        </w:rPr>
        <w:t>の引上げについて、</w:t>
      </w:r>
      <w:r w:rsidR="00F72703">
        <w:rPr>
          <w:rFonts w:hint="eastAsia"/>
          <w:sz w:val="24"/>
          <w:szCs w:val="24"/>
        </w:rPr>
        <w:t>平成</w:t>
      </w:r>
      <w:r w:rsidR="00A1456B">
        <w:rPr>
          <w:rFonts w:hint="eastAsia"/>
          <w:sz w:val="24"/>
          <w:szCs w:val="24"/>
        </w:rPr>
        <w:t>３１年度賦課を視野に</w:t>
      </w:r>
      <w:r>
        <w:rPr>
          <w:rFonts w:hint="eastAsia"/>
          <w:sz w:val="24"/>
          <w:szCs w:val="24"/>
        </w:rPr>
        <w:t>引き続き</w:t>
      </w:r>
      <w:r w:rsidR="00A1456B">
        <w:rPr>
          <w:rFonts w:hint="eastAsia"/>
          <w:sz w:val="24"/>
          <w:szCs w:val="24"/>
        </w:rPr>
        <w:t>検討を重ねる</w:t>
      </w:r>
      <w:r w:rsidR="00533D0E">
        <w:rPr>
          <w:rFonts w:hint="eastAsia"/>
          <w:sz w:val="24"/>
          <w:szCs w:val="24"/>
        </w:rPr>
        <w:t>。</w:t>
      </w:r>
    </w:p>
    <w:p w:rsidR="00120D94" w:rsidRPr="002A6320" w:rsidRDefault="00120D94" w:rsidP="00FD32D4">
      <w:pPr>
        <w:ind w:firstLineChars="100" w:firstLine="240"/>
        <w:rPr>
          <w:sz w:val="24"/>
          <w:szCs w:val="24"/>
        </w:rPr>
      </w:pPr>
    </w:p>
    <w:p w:rsidR="00533D0E" w:rsidRDefault="00F72703" w:rsidP="00533D0E">
      <w:pPr>
        <w:ind w:firstLineChars="100" w:firstLine="240"/>
        <w:rPr>
          <w:sz w:val="24"/>
          <w:szCs w:val="24"/>
        </w:rPr>
      </w:pPr>
      <w:r>
        <w:rPr>
          <w:rFonts w:hint="eastAsia"/>
          <w:sz w:val="24"/>
          <w:szCs w:val="24"/>
        </w:rPr>
        <w:t>４</w:t>
      </w:r>
      <w:r w:rsidR="00533D0E">
        <w:rPr>
          <w:rFonts w:hint="eastAsia"/>
          <w:sz w:val="24"/>
          <w:szCs w:val="24"/>
        </w:rPr>
        <w:t>．賦課限度額について</w:t>
      </w:r>
    </w:p>
    <w:p w:rsidR="00533D0E" w:rsidRDefault="00533D0E" w:rsidP="00533D0E">
      <w:pPr>
        <w:ind w:leftChars="100" w:left="450" w:hangingChars="100" w:hanging="240"/>
        <w:rPr>
          <w:sz w:val="24"/>
          <w:szCs w:val="24"/>
        </w:rPr>
      </w:pPr>
      <w:r>
        <w:rPr>
          <w:rFonts w:hint="eastAsia"/>
          <w:sz w:val="24"/>
          <w:szCs w:val="24"/>
        </w:rPr>
        <w:t xml:space="preserve">　　</w:t>
      </w:r>
      <w:r w:rsidR="00F72703">
        <w:rPr>
          <w:rFonts w:hint="eastAsia"/>
          <w:sz w:val="24"/>
          <w:szCs w:val="24"/>
        </w:rPr>
        <w:t>平成</w:t>
      </w:r>
      <w:r>
        <w:rPr>
          <w:rFonts w:hint="eastAsia"/>
          <w:sz w:val="24"/>
          <w:szCs w:val="24"/>
        </w:rPr>
        <w:t>３０年度課税より、法定</w:t>
      </w:r>
      <w:r w:rsidR="00F72703">
        <w:rPr>
          <w:rFonts w:hint="eastAsia"/>
          <w:sz w:val="24"/>
          <w:szCs w:val="24"/>
        </w:rPr>
        <w:t>限度額（医療分</w:t>
      </w:r>
      <w:r w:rsidR="00F72703">
        <w:rPr>
          <w:rFonts w:hint="eastAsia"/>
          <w:sz w:val="24"/>
          <w:szCs w:val="24"/>
        </w:rPr>
        <w:t>54</w:t>
      </w:r>
      <w:r w:rsidR="00F72703">
        <w:rPr>
          <w:rFonts w:hint="eastAsia"/>
          <w:sz w:val="24"/>
          <w:szCs w:val="24"/>
        </w:rPr>
        <w:t>万円、支援分</w:t>
      </w:r>
      <w:r w:rsidR="00F72703">
        <w:rPr>
          <w:rFonts w:hint="eastAsia"/>
          <w:sz w:val="24"/>
          <w:szCs w:val="24"/>
        </w:rPr>
        <w:t>19</w:t>
      </w:r>
      <w:r w:rsidR="00F72703">
        <w:rPr>
          <w:rFonts w:hint="eastAsia"/>
          <w:sz w:val="24"/>
          <w:szCs w:val="24"/>
        </w:rPr>
        <w:t>万円、介護分</w:t>
      </w:r>
      <w:r w:rsidR="00F72703">
        <w:rPr>
          <w:rFonts w:hint="eastAsia"/>
          <w:sz w:val="24"/>
          <w:szCs w:val="24"/>
        </w:rPr>
        <w:t>16</w:t>
      </w:r>
      <w:r w:rsidR="00F72703">
        <w:rPr>
          <w:rFonts w:hint="eastAsia"/>
          <w:sz w:val="24"/>
          <w:szCs w:val="24"/>
        </w:rPr>
        <w:t>万円）</w:t>
      </w:r>
      <w:r>
        <w:rPr>
          <w:rFonts w:hint="eastAsia"/>
          <w:sz w:val="24"/>
          <w:szCs w:val="24"/>
        </w:rPr>
        <w:t>に引き上げを行う。</w:t>
      </w:r>
    </w:p>
    <w:p w:rsidR="00120D94" w:rsidRPr="00F72703" w:rsidRDefault="00120D94" w:rsidP="00FD32D4">
      <w:pPr>
        <w:ind w:firstLineChars="100" w:firstLine="240"/>
        <w:rPr>
          <w:sz w:val="24"/>
          <w:szCs w:val="24"/>
        </w:rPr>
      </w:pPr>
    </w:p>
    <w:sectPr w:rsidR="00120D94" w:rsidRPr="00F72703" w:rsidSect="00200BDA">
      <w:pgSz w:w="11906" w:h="16838"/>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3B"/>
    <w:rsid w:val="00025FDB"/>
    <w:rsid w:val="0003365D"/>
    <w:rsid w:val="0004123B"/>
    <w:rsid w:val="00096BB7"/>
    <w:rsid w:val="001074E6"/>
    <w:rsid w:val="00120D94"/>
    <w:rsid w:val="00200BDA"/>
    <w:rsid w:val="00280CDF"/>
    <w:rsid w:val="002A6320"/>
    <w:rsid w:val="00324BC6"/>
    <w:rsid w:val="0037134E"/>
    <w:rsid w:val="00376460"/>
    <w:rsid w:val="003B1FE4"/>
    <w:rsid w:val="00533AFD"/>
    <w:rsid w:val="00533D0E"/>
    <w:rsid w:val="0057338A"/>
    <w:rsid w:val="005A3DF0"/>
    <w:rsid w:val="005D06EF"/>
    <w:rsid w:val="006642C4"/>
    <w:rsid w:val="006978B1"/>
    <w:rsid w:val="006F1608"/>
    <w:rsid w:val="00876DBB"/>
    <w:rsid w:val="00907D7A"/>
    <w:rsid w:val="0097734F"/>
    <w:rsid w:val="00A00651"/>
    <w:rsid w:val="00A1456B"/>
    <w:rsid w:val="00B41255"/>
    <w:rsid w:val="00B96866"/>
    <w:rsid w:val="00C442D6"/>
    <w:rsid w:val="00C5545E"/>
    <w:rsid w:val="00DF5D0E"/>
    <w:rsid w:val="00EE6552"/>
    <w:rsid w:val="00F12A0C"/>
    <w:rsid w:val="00F72703"/>
    <w:rsid w:val="00FD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1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1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土崎健太</dc:creator>
  <cp:lastModifiedBy>桜井雅美</cp:lastModifiedBy>
  <cp:revision>2</cp:revision>
  <cp:lastPrinted>2017-12-19T07:27:00Z</cp:lastPrinted>
  <dcterms:created xsi:type="dcterms:W3CDTF">2018-02-09T05:29:00Z</dcterms:created>
  <dcterms:modified xsi:type="dcterms:W3CDTF">2018-02-09T05:29:00Z</dcterms:modified>
</cp:coreProperties>
</file>